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9D" w:rsidRPr="00E05D9D" w:rsidRDefault="00E05D9D" w:rsidP="00E05D9D">
      <w:pPr>
        <w:rPr>
          <w:rFonts w:ascii="Aharoni" w:hAnsi="Aharoni" w:cs="Aharoni"/>
          <w:sz w:val="24"/>
        </w:rPr>
      </w:pPr>
      <w:r w:rsidRPr="00E05D9D">
        <w:rPr>
          <w:rFonts w:ascii="Aharoni" w:hAnsi="Aharoni" w:cs="Aharoni"/>
          <w:noProof/>
          <w:sz w:val="28"/>
          <w:szCs w:val="24"/>
        </w:rPr>
        <w:drawing>
          <wp:anchor distT="36576" distB="36576" distL="36576" distR="36576" simplePos="0" relativeHeight="251659264" behindDoc="1" locked="0" layoutInCell="1" allowOverlap="1" wp14:anchorId="47093336" wp14:editId="46FE72FD">
            <wp:simplePos x="0" y="0"/>
            <wp:positionH relativeFrom="column">
              <wp:posOffset>-173182</wp:posOffset>
            </wp:positionH>
            <wp:positionV relativeFrom="paragraph">
              <wp:posOffset>235527</wp:posOffset>
            </wp:positionV>
            <wp:extent cx="1156855" cy="1027133"/>
            <wp:effectExtent l="0" t="0" r="5715" b="1905"/>
            <wp:wrapNone/>
            <wp:docPr id="1" name="Picture 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7488" cy="1027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05D9D">
        <w:rPr>
          <w:rFonts w:ascii="Aharoni" w:hAnsi="Aharoni" w:cs="Aharoni"/>
          <w:sz w:val="24"/>
        </w:rPr>
        <w:t>Mercer County</w:t>
      </w:r>
      <w:r w:rsidRPr="00E05D9D">
        <w:rPr>
          <w:rFonts w:ascii="Aharoni" w:hAnsi="Aharoni" w:cs="Aharoni"/>
          <w:sz w:val="24"/>
        </w:rPr>
        <w:tab/>
      </w:r>
      <w:bookmarkStart w:id="0" w:name="_GoBack"/>
      <w:bookmarkEnd w:id="0"/>
      <w:r w:rsidRPr="00E05D9D">
        <w:rPr>
          <w:rFonts w:ascii="Aharoni" w:hAnsi="Aharoni" w:cs="Aharoni"/>
          <w:sz w:val="24"/>
        </w:rPr>
        <w:tab/>
      </w:r>
      <w:r w:rsidRPr="00E05D9D">
        <w:rPr>
          <w:rFonts w:ascii="Aharoni" w:hAnsi="Aharoni" w:cs="Aharoni"/>
          <w:sz w:val="24"/>
        </w:rPr>
        <w:tab/>
        <w:t xml:space="preserve">       </w:t>
      </w:r>
      <w:r w:rsidRPr="00E05D9D">
        <w:rPr>
          <w:rFonts w:ascii="Gill Sans Ultra Bold Condensed" w:hAnsi="Gill Sans Ultra Bold Condensed" w:cs="Aharoni"/>
          <w:sz w:val="24"/>
        </w:rPr>
        <w:t xml:space="preserve"> </w:t>
      </w:r>
    </w:p>
    <w:p w:rsidR="00E05D9D" w:rsidRPr="00E05D9D" w:rsidRDefault="00E05D9D" w:rsidP="00E05D9D">
      <w:pPr>
        <w:jc w:val="right"/>
      </w:pPr>
      <w:r w:rsidRPr="00E05D9D">
        <w:tab/>
      </w:r>
      <w:r w:rsidRPr="00E05D9D">
        <w:tab/>
      </w:r>
      <w:r w:rsidRPr="00E05D9D">
        <w:tab/>
      </w:r>
      <w:r w:rsidRPr="00E05D9D">
        <w:tab/>
      </w:r>
      <w:r w:rsidRPr="00E05D9D">
        <w:rPr>
          <w:sz w:val="32"/>
        </w:rPr>
        <w:t>Evidenced Based Practice for Child Trauma</w:t>
      </w:r>
      <w:r w:rsidRPr="00E05D9D">
        <w:tab/>
      </w:r>
      <w:r w:rsidRPr="00E05D9D">
        <w:tab/>
      </w:r>
      <w:r w:rsidRPr="00E05D9D">
        <w:tab/>
      </w:r>
      <w:r w:rsidRPr="00E05D9D">
        <w:tab/>
      </w:r>
      <w:r w:rsidRPr="00E05D9D">
        <w:tab/>
      </w:r>
      <w:r w:rsidRPr="00E05D9D">
        <w:tab/>
      </w:r>
    </w:p>
    <w:p w:rsidR="00E05D9D" w:rsidRPr="00E05D9D" w:rsidRDefault="00E05D9D" w:rsidP="00E05D9D">
      <w:pPr>
        <w:rPr>
          <w:rFonts w:ascii="Aharoni" w:hAnsi="Aharoni" w:cs="Aharoni"/>
          <w:sz w:val="18"/>
        </w:rPr>
      </w:pPr>
      <w:r w:rsidRPr="00E05D9D">
        <w:rPr>
          <w:rFonts w:ascii="Aharoni" w:hAnsi="Aharoni" w:cs="Aharoni"/>
          <w:sz w:val="18"/>
        </w:rPr>
        <w:tab/>
      </w:r>
      <w:r w:rsidRPr="00E05D9D">
        <w:rPr>
          <w:rFonts w:ascii="Aharoni" w:hAnsi="Aharoni" w:cs="Aharoni"/>
          <w:sz w:val="18"/>
        </w:rPr>
        <w:tab/>
      </w:r>
      <w:r w:rsidRPr="00E05D9D">
        <w:rPr>
          <w:rFonts w:ascii="Aharoni" w:hAnsi="Aharoni" w:cs="Aharoni"/>
          <w:sz w:val="18"/>
        </w:rPr>
        <w:tab/>
      </w:r>
      <w:r w:rsidRPr="00E05D9D">
        <w:rPr>
          <w:rFonts w:ascii="Aharoni" w:hAnsi="Aharoni" w:cs="Aharoni"/>
          <w:sz w:val="18"/>
        </w:rPr>
        <w:tab/>
      </w:r>
      <w:r w:rsidRPr="00E05D9D">
        <w:rPr>
          <w:rFonts w:ascii="Aharoni" w:hAnsi="Aharoni" w:cs="Aharoni"/>
          <w:sz w:val="18"/>
        </w:rPr>
        <w:tab/>
      </w:r>
      <w:r w:rsidRPr="00E05D9D">
        <w:rPr>
          <w:rFonts w:ascii="Aharoni" w:hAnsi="Aharoni" w:cs="Aharoni"/>
          <w:sz w:val="18"/>
        </w:rPr>
        <w:tab/>
        <w:t xml:space="preserve">                  </w:t>
      </w:r>
      <w:r w:rsidRPr="00E05D9D">
        <w:rPr>
          <w:rFonts w:ascii="Aharoni" w:hAnsi="Aharoni" w:cs="Aharoni"/>
          <w:sz w:val="18"/>
        </w:rPr>
        <w:tab/>
      </w:r>
      <w:r w:rsidRPr="00E05D9D">
        <w:rPr>
          <w:rFonts w:ascii="Aharoni" w:hAnsi="Aharoni" w:cs="Aharoni"/>
          <w:sz w:val="18"/>
        </w:rPr>
        <w:tab/>
      </w:r>
      <w:r w:rsidRPr="00E05D9D">
        <w:rPr>
          <w:rFonts w:ascii="Aharoni" w:hAnsi="Aharoni" w:cs="Aharoni"/>
          <w:sz w:val="18"/>
        </w:rPr>
        <w:tab/>
      </w:r>
      <w:r w:rsidRPr="00E05D9D">
        <w:rPr>
          <w:rFonts w:ascii="Aharoni" w:hAnsi="Aharoni" w:cs="Aharoni"/>
          <w:sz w:val="18"/>
        </w:rPr>
        <w:tab/>
      </w:r>
      <w:r w:rsidRPr="00E05D9D">
        <w:rPr>
          <w:rFonts w:ascii="Aharoni" w:hAnsi="Aharoni" w:cs="Aharoni"/>
          <w:sz w:val="18"/>
        </w:rPr>
        <w:tab/>
      </w:r>
    </w:p>
    <w:p w:rsidR="00E05D9D" w:rsidRPr="00E05D9D" w:rsidRDefault="00E05D9D" w:rsidP="00E05D9D">
      <w:pPr>
        <w:rPr>
          <w:rFonts w:ascii="Aharoni" w:hAnsi="Aharoni" w:cs="Aharoni"/>
          <w:sz w:val="24"/>
        </w:rPr>
      </w:pPr>
      <w:r w:rsidRPr="00E05D9D">
        <w:rPr>
          <w:rFonts w:ascii="Aharoni" w:hAnsi="Aharoni" w:cs="Aharoni"/>
          <w:sz w:val="24"/>
        </w:rPr>
        <w:t xml:space="preserve">  Children’s</w:t>
      </w:r>
      <w:r w:rsidRPr="00E05D9D">
        <w:rPr>
          <w:rFonts w:ascii="Aharoni" w:hAnsi="Aharoni" w:cs="Aharoni"/>
          <w:sz w:val="24"/>
        </w:rPr>
        <w:tab/>
      </w:r>
      <w:r w:rsidRPr="00E05D9D">
        <w:rPr>
          <w:rFonts w:ascii="Aharoni" w:hAnsi="Aharoni" w:cs="Aharoni"/>
          <w:sz w:val="24"/>
        </w:rPr>
        <w:tab/>
      </w:r>
      <w:r w:rsidRPr="00E05D9D">
        <w:rPr>
          <w:rFonts w:ascii="Aharoni" w:hAnsi="Aharoni" w:cs="Aharoni"/>
          <w:sz w:val="24"/>
        </w:rPr>
        <w:tab/>
      </w:r>
      <w:r w:rsidRPr="00E05D9D">
        <w:rPr>
          <w:rFonts w:ascii="Aharoni" w:hAnsi="Aharoni" w:cs="Aharoni"/>
          <w:sz w:val="24"/>
        </w:rPr>
        <w:tab/>
        <w:t xml:space="preserve">                     </w:t>
      </w:r>
      <w:r w:rsidRPr="00E05D9D">
        <w:rPr>
          <w:rFonts w:ascii="Gill Sans Ultra Bold Condensed" w:hAnsi="Gill Sans Ultra Bold Condensed" w:cs="Aharoni"/>
          <w:sz w:val="24"/>
        </w:rPr>
        <w:t xml:space="preserve"> </w:t>
      </w:r>
      <w:r w:rsidRPr="00E05D9D">
        <w:rPr>
          <w:rFonts w:ascii="Aharoni" w:hAnsi="Aharoni" w:cs="Aharoni"/>
          <w:sz w:val="24"/>
        </w:rPr>
        <w:tab/>
      </w:r>
      <w:r w:rsidRPr="00E05D9D">
        <w:rPr>
          <w:rFonts w:ascii="Aharoni" w:hAnsi="Aharoni" w:cs="Aharoni"/>
          <w:sz w:val="24"/>
        </w:rPr>
        <w:tab/>
      </w:r>
      <w:r w:rsidRPr="00E05D9D">
        <w:rPr>
          <w:rFonts w:ascii="Aharoni" w:hAnsi="Aharoni" w:cs="Aharoni"/>
          <w:sz w:val="24"/>
        </w:rPr>
        <w:tab/>
      </w:r>
    </w:p>
    <w:p w:rsidR="00AC153D" w:rsidRPr="007A6F02" w:rsidRDefault="00E05D9D">
      <w:pPr>
        <w:rPr>
          <w:rFonts w:ascii="Wide Latin" w:hAnsi="Wide Latin" w:cs="Times New Roman"/>
          <w:sz w:val="32"/>
        </w:rPr>
      </w:pPr>
      <w:r w:rsidRPr="00E05D9D">
        <w:rPr>
          <w:rFonts w:ascii="Aharoni" w:hAnsi="Aharoni" w:cs="Aharoni"/>
          <w:sz w:val="24"/>
        </w:rPr>
        <w:t xml:space="preserve">  Advocacy Center</w:t>
      </w:r>
      <w:r>
        <w:rPr>
          <w:rFonts w:ascii="Wide Latin" w:hAnsi="Wide Latin" w:cs="Times New Roman"/>
          <w:sz w:val="32"/>
        </w:rPr>
        <w:tab/>
      </w:r>
      <w:r>
        <w:rPr>
          <w:rFonts w:ascii="Wide Latin" w:hAnsi="Wide Latin" w:cs="Times New Roman"/>
          <w:sz w:val="32"/>
        </w:rPr>
        <w:tab/>
      </w:r>
      <w:r>
        <w:rPr>
          <w:rFonts w:ascii="Wide Latin" w:hAnsi="Wide Latin" w:cs="Times New Roman"/>
          <w:sz w:val="32"/>
        </w:rPr>
        <w:tab/>
      </w:r>
      <w:r>
        <w:rPr>
          <w:rFonts w:ascii="Wide Latin" w:hAnsi="Wide Latin" w:cs="Times New Roman"/>
          <w:sz w:val="32"/>
        </w:rPr>
        <w:tab/>
        <w:t xml:space="preserve">   </w:t>
      </w:r>
      <w:r>
        <w:rPr>
          <w:rFonts w:ascii="Gill Sans Ultra Bold Condensed" w:hAnsi="Gill Sans Ultra Bold Condensed" w:cs="Aharoni"/>
          <w:sz w:val="32"/>
        </w:rPr>
        <w:t xml:space="preserve"> </w:t>
      </w:r>
      <w:r>
        <w:rPr>
          <w:rFonts w:ascii="Wide Latin" w:hAnsi="Wide Latin" w:cs="Times New Roman"/>
          <w:sz w:val="32"/>
        </w:rPr>
        <w:tab/>
      </w:r>
      <w:r>
        <w:rPr>
          <w:rFonts w:ascii="Wide Latin" w:hAnsi="Wide Latin" w:cs="Times New Roman"/>
          <w:sz w:val="32"/>
        </w:rPr>
        <w:tab/>
      </w:r>
      <w:r>
        <w:rPr>
          <w:rFonts w:ascii="Wide Latin" w:hAnsi="Wide Latin" w:cs="Times New Roman"/>
          <w:sz w:val="32"/>
        </w:rPr>
        <w:tab/>
      </w:r>
    </w:p>
    <w:tbl>
      <w:tblPr>
        <w:tblStyle w:val="TableGrid"/>
        <w:tblW w:w="0" w:type="auto"/>
        <w:tblLook w:val="04A0" w:firstRow="1" w:lastRow="0" w:firstColumn="1" w:lastColumn="0" w:noHBand="0" w:noVBand="1"/>
      </w:tblPr>
      <w:tblGrid>
        <w:gridCol w:w="1908"/>
        <w:gridCol w:w="1530"/>
        <w:gridCol w:w="3780"/>
        <w:gridCol w:w="5958"/>
      </w:tblGrid>
      <w:tr w:rsidR="00AC153D" w:rsidTr="003F417C">
        <w:tc>
          <w:tcPr>
            <w:tcW w:w="1908" w:type="dxa"/>
          </w:tcPr>
          <w:p w:rsidR="00AC153D" w:rsidRPr="006D7327" w:rsidRDefault="00AC153D" w:rsidP="003F417C">
            <w:pPr>
              <w:pStyle w:val="Heading2"/>
              <w:jc w:val="center"/>
              <w:outlineLvl w:val="1"/>
              <w:rPr>
                <w:sz w:val="24"/>
              </w:rPr>
            </w:pPr>
            <w:r w:rsidRPr="006D7327">
              <w:rPr>
                <w:sz w:val="24"/>
              </w:rPr>
              <w:t>Model</w:t>
            </w:r>
          </w:p>
        </w:tc>
        <w:tc>
          <w:tcPr>
            <w:tcW w:w="1530" w:type="dxa"/>
          </w:tcPr>
          <w:p w:rsidR="00AC153D" w:rsidRPr="006D7327" w:rsidRDefault="00AC153D" w:rsidP="003F417C">
            <w:pPr>
              <w:pStyle w:val="Heading2"/>
              <w:jc w:val="center"/>
              <w:outlineLvl w:val="1"/>
              <w:rPr>
                <w:sz w:val="24"/>
              </w:rPr>
            </w:pPr>
            <w:r w:rsidRPr="006D7327">
              <w:rPr>
                <w:sz w:val="24"/>
              </w:rPr>
              <w:t>Ages</w:t>
            </w:r>
          </w:p>
        </w:tc>
        <w:tc>
          <w:tcPr>
            <w:tcW w:w="3780" w:type="dxa"/>
          </w:tcPr>
          <w:p w:rsidR="00AC153D" w:rsidRPr="006D7327" w:rsidRDefault="003F417C" w:rsidP="003F417C">
            <w:pPr>
              <w:pStyle w:val="Heading2"/>
              <w:jc w:val="center"/>
              <w:outlineLvl w:val="1"/>
              <w:rPr>
                <w:sz w:val="24"/>
              </w:rPr>
            </w:pPr>
            <w:r w:rsidRPr="006D7327">
              <w:rPr>
                <w:sz w:val="24"/>
              </w:rPr>
              <w:t>Modality</w:t>
            </w:r>
          </w:p>
        </w:tc>
        <w:tc>
          <w:tcPr>
            <w:tcW w:w="5958" w:type="dxa"/>
          </w:tcPr>
          <w:p w:rsidR="00AC153D" w:rsidRPr="006D7327" w:rsidRDefault="003F417C" w:rsidP="003F417C">
            <w:pPr>
              <w:pStyle w:val="Heading2"/>
              <w:jc w:val="center"/>
              <w:outlineLvl w:val="1"/>
              <w:rPr>
                <w:sz w:val="24"/>
              </w:rPr>
            </w:pPr>
            <w:r w:rsidRPr="006D7327">
              <w:rPr>
                <w:sz w:val="24"/>
              </w:rPr>
              <w:t>Summary</w:t>
            </w:r>
          </w:p>
        </w:tc>
      </w:tr>
      <w:tr w:rsidR="00AC153D" w:rsidTr="003F417C">
        <w:tc>
          <w:tcPr>
            <w:tcW w:w="1908" w:type="dxa"/>
          </w:tcPr>
          <w:p w:rsidR="00AC153D" w:rsidRDefault="00AC153D">
            <w:r w:rsidRPr="00AC153D">
              <w:rPr>
                <w:lang w:val="en"/>
              </w:rPr>
              <w:t>Attachment-Based Family Therapy (ABFT)</w:t>
            </w:r>
          </w:p>
        </w:tc>
        <w:tc>
          <w:tcPr>
            <w:tcW w:w="1530" w:type="dxa"/>
          </w:tcPr>
          <w:p w:rsidR="00AC153D" w:rsidRDefault="00AC153D" w:rsidP="003F417C">
            <w:pPr>
              <w:jc w:val="center"/>
            </w:pPr>
            <w:r>
              <w:t>12-18</w:t>
            </w:r>
          </w:p>
        </w:tc>
        <w:tc>
          <w:tcPr>
            <w:tcW w:w="3780" w:type="dxa"/>
          </w:tcPr>
          <w:p w:rsidR="003F417C" w:rsidRDefault="003F417C" w:rsidP="003F417C">
            <w:pPr>
              <w:rPr>
                <w:lang w:val="en"/>
              </w:rPr>
            </w:pPr>
            <w:r w:rsidRPr="003F417C">
              <w:rPr>
                <w:lang w:val="en"/>
              </w:rPr>
              <w:t xml:space="preserve">60- to 90-minute sessions conducted </w:t>
            </w:r>
          </w:p>
          <w:p w:rsidR="00AC153D" w:rsidRDefault="003F417C" w:rsidP="003F417C">
            <w:r w:rsidRPr="003F417C">
              <w:rPr>
                <w:lang w:val="en"/>
              </w:rPr>
              <w:t>weekly for 12-16 weeks</w:t>
            </w:r>
          </w:p>
        </w:tc>
        <w:tc>
          <w:tcPr>
            <w:tcW w:w="5958" w:type="dxa"/>
          </w:tcPr>
          <w:p w:rsidR="00AC153D" w:rsidRDefault="003F417C">
            <w:pPr>
              <w:rPr>
                <w:color w:val="000000"/>
                <w:lang w:val="en"/>
              </w:rPr>
            </w:pPr>
            <w:r>
              <w:rPr>
                <w:color w:val="000000"/>
                <w:lang w:val="en"/>
              </w:rPr>
              <w:t>ABFT is designed to treat clinically diagnosed major depressive disorder, eliminate suicidal ideation, and reduce dispositional anxiety. ABFT aims to strengthen or repair parent-adolescent attachment bonds and improve family communication.</w:t>
            </w:r>
          </w:p>
          <w:p w:rsidR="006D7327" w:rsidRDefault="006D7327"/>
        </w:tc>
      </w:tr>
      <w:tr w:rsidR="00AC153D" w:rsidTr="003F417C">
        <w:tc>
          <w:tcPr>
            <w:tcW w:w="1908" w:type="dxa"/>
          </w:tcPr>
          <w:p w:rsidR="00AC153D" w:rsidRDefault="003F417C">
            <w:r w:rsidRPr="003F417C">
              <w:rPr>
                <w:lang w:val="en"/>
              </w:rPr>
              <w:t>Child and Family Traumatic Stress Intervention (CFTSI)</w:t>
            </w:r>
          </w:p>
        </w:tc>
        <w:tc>
          <w:tcPr>
            <w:tcW w:w="1530" w:type="dxa"/>
          </w:tcPr>
          <w:p w:rsidR="00AC153D" w:rsidRDefault="003F417C" w:rsidP="003F417C">
            <w:pPr>
              <w:jc w:val="center"/>
            </w:pPr>
            <w:r>
              <w:t>7-18</w:t>
            </w:r>
          </w:p>
        </w:tc>
        <w:tc>
          <w:tcPr>
            <w:tcW w:w="3780" w:type="dxa"/>
          </w:tcPr>
          <w:p w:rsidR="00AC153D" w:rsidRDefault="003F417C">
            <w:r w:rsidRPr="003F417C">
              <w:rPr>
                <w:lang w:val="en"/>
              </w:rPr>
              <w:t>four to eight sessions, which are held weekly and last 45-60 minutes each</w:t>
            </w:r>
          </w:p>
        </w:tc>
        <w:tc>
          <w:tcPr>
            <w:tcW w:w="5958" w:type="dxa"/>
          </w:tcPr>
          <w:p w:rsidR="00AC153D" w:rsidRDefault="003F417C" w:rsidP="00E05D9D">
            <w:r>
              <w:rPr>
                <w:lang w:val="en"/>
              </w:rPr>
              <w:t>CFTSI</w:t>
            </w:r>
            <w:r w:rsidRPr="003F417C">
              <w:rPr>
                <w:lang w:val="en"/>
              </w:rPr>
              <w:t xml:space="preserve"> is a brief, early acute intervention for families who have either recently experienced</w:t>
            </w:r>
            <w:r w:rsidR="00E05D9D">
              <w:rPr>
                <w:lang w:val="en"/>
              </w:rPr>
              <w:t xml:space="preserve"> or disclosed </w:t>
            </w:r>
            <w:r w:rsidRPr="003F417C">
              <w:rPr>
                <w:lang w:val="en"/>
              </w:rPr>
              <w:t>a potentially traumatic event. The intervention focuses on increasing communication between the caregiver and child about the child's traumatic stress reactions and on providing skills to the family to help cope with traumatic stress reactions.</w:t>
            </w:r>
          </w:p>
        </w:tc>
      </w:tr>
      <w:tr w:rsidR="00AC153D" w:rsidTr="003F417C">
        <w:tc>
          <w:tcPr>
            <w:tcW w:w="1908" w:type="dxa"/>
          </w:tcPr>
          <w:p w:rsidR="00AC153D" w:rsidRDefault="001E55F8">
            <w:r w:rsidRPr="001E55F8">
              <w:rPr>
                <w:lang w:val="en"/>
              </w:rPr>
              <w:t>Child-Parent Psychotherapy (CPP)</w:t>
            </w:r>
          </w:p>
        </w:tc>
        <w:tc>
          <w:tcPr>
            <w:tcW w:w="1530" w:type="dxa"/>
          </w:tcPr>
          <w:p w:rsidR="00AC153D" w:rsidRDefault="001E55F8" w:rsidP="003F417C">
            <w:pPr>
              <w:jc w:val="center"/>
            </w:pPr>
            <w:r>
              <w:t>0-5</w:t>
            </w:r>
          </w:p>
        </w:tc>
        <w:tc>
          <w:tcPr>
            <w:tcW w:w="3780" w:type="dxa"/>
          </w:tcPr>
          <w:p w:rsidR="00AC153D" w:rsidRDefault="005650B8">
            <w:r>
              <w:t>Weekly sessions lasting up to 1 year</w:t>
            </w:r>
          </w:p>
        </w:tc>
        <w:tc>
          <w:tcPr>
            <w:tcW w:w="5958" w:type="dxa"/>
          </w:tcPr>
          <w:p w:rsidR="00AC153D" w:rsidRDefault="001E55F8" w:rsidP="00E61554">
            <w:r>
              <w:rPr>
                <w:lang w:val="en"/>
              </w:rPr>
              <w:t xml:space="preserve">CPP </w:t>
            </w:r>
            <w:r w:rsidRPr="001E55F8">
              <w:rPr>
                <w:lang w:val="en"/>
              </w:rPr>
              <w:t>is an intervention for children who have experienced at least one traumatic event and, as a result, are experiencing behavior, attachment, and/or mental health problems</w:t>
            </w:r>
            <w:r w:rsidR="005650B8">
              <w:rPr>
                <w:lang w:val="en"/>
              </w:rPr>
              <w:t>.</w:t>
            </w:r>
            <w:r w:rsidR="00E61554">
              <w:rPr>
                <w:lang w:val="en"/>
              </w:rPr>
              <w:t xml:space="preserve"> </w:t>
            </w:r>
            <w:r w:rsidRPr="001E55F8">
              <w:rPr>
                <w:lang w:val="en"/>
              </w:rPr>
              <w:t>CPP support</w:t>
            </w:r>
            <w:r w:rsidR="00E61554">
              <w:rPr>
                <w:lang w:val="en"/>
              </w:rPr>
              <w:t>s</w:t>
            </w:r>
            <w:r w:rsidRPr="001E55F8">
              <w:rPr>
                <w:lang w:val="en"/>
              </w:rPr>
              <w:t xml:space="preserve"> and strengthen</w:t>
            </w:r>
            <w:r w:rsidR="00E61554">
              <w:rPr>
                <w:lang w:val="en"/>
              </w:rPr>
              <w:t>s</w:t>
            </w:r>
            <w:r w:rsidRPr="001E55F8">
              <w:rPr>
                <w:lang w:val="en"/>
              </w:rPr>
              <w:t xml:space="preserve"> the relationship between a child and his caregiver</w:t>
            </w:r>
            <w:r w:rsidR="002815C3">
              <w:rPr>
                <w:lang w:val="en"/>
              </w:rPr>
              <w:t>(s</w:t>
            </w:r>
            <w:r w:rsidRPr="001E55F8">
              <w:rPr>
                <w:lang w:val="en"/>
              </w:rPr>
              <w:t>) as a vehicle for restoring the child's sense of safety, attachment, and appropriate affect and improving the child's cognitive, behavioral, and social functioning.</w:t>
            </w:r>
          </w:p>
        </w:tc>
      </w:tr>
      <w:tr w:rsidR="00AC153D" w:rsidTr="003F417C">
        <w:tc>
          <w:tcPr>
            <w:tcW w:w="1908" w:type="dxa"/>
          </w:tcPr>
          <w:p w:rsidR="00AC153D" w:rsidRDefault="007E0198">
            <w:r w:rsidRPr="007E0198">
              <w:t>Combined Parent-Child Cognitive Behavioral Therapy</w:t>
            </w:r>
            <w:r>
              <w:t xml:space="preserve"> (CPC-CBT)</w:t>
            </w:r>
          </w:p>
          <w:p w:rsidR="007E0198" w:rsidRDefault="007E0198"/>
        </w:tc>
        <w:tc>
          <w:tcPr>
            <w:tcW w:w="1530" w:type="dxa"/>
          </w:tcPr>
          <w:p w:rsidR="00AC153D" w:rsidRDefault="007E0198" w:rsidP="003F417C">
            <w:pPr>
              <w:jc w:val="center"/>
            </w:pPr>
            <w:r>
              <w:t>3-17</w:t>
            </w:r>
          </w:p>
        </w:tc>
        <w:tc>
          <w:tcPr>
            <w:tcW w:w="3780" w:type="dxa"/>
          </w:tcPr>
          <w:p w:rsidR="00AC153D" w:rsidRDefault="007E0198">
            <w:r w:rsidRPr="007E0198">
              <w:rPr>
                <w:lang w:val="en"/>
              </w:rPr>
              <w:t>16-20 sessions</w:t>
            </w:r>
            <w:r>
              <w:rPr>
                <w:lang w:val="en"/>
              </w:rPr>
              <w:t xml:space="preserve"> lasting 2 hours each</w:t>
            </w:r>
          </w:p>
        </w:tc>
        <w:tc>
          <w:tcPr>
            <w:tcW w:w="5958" w:type="dxa"/>
          </w:tcPr>
          <w:p w:rsidR="00AC153D" w:rsidRDefault="007E0198" w:rsidP="00E61554">
            <w:r>
              <w:t xml:space="preserve">CPC-CBT </w:t>
            </w:r>
            <w:r w:rsidRPr="007E0198">
              <w:t>is a structured treatment program for children and their parents (or caregivers) in families where parents engage in a continuum of coercive parenting strategies.</w:t>
            </w:r>
            <w:r w:rsidR="00E61554">
              <w:t xml:space="preserve"> </w:t>
            </w:r>
            <w:r w:rsidR="00E61554" w:rsidRPr="00E61554">
              <w:t>The program aims to reduce children's PTSD</w:t>
            </w:r>
            <w:r w:rsidR="00E61554">
              <w:t xml:space="preserve"> symptoms </w:t>
            </w:r>
            <w:r w:rsidR="00E61554" w:rsidRPr="00E61554">
              <w:t>and behavior problems wh</w:t>
            </w:r>
            <w:r w:rsidR="00E61554">
              <w:t xml:space="preserve">ile improving parenting skills, </w:t>
            </w:r>
            <w:r w:rsidR="00E61554" w:rsidRPr="00E61554">
              <w:t>relationships and reducing the use of corporal punishment by parents.</w:t>
            </w:r>
          </w:p>
        </w:tc>
      </w:tr>
      <w:tr w:rsidR="00AC153D" w:rsidTr="003F417C">
        <w:tc>
          <w:tcPr>
            <w:tcW w:w="1908" w:type="dxa"/>
          </w:tcPr>
          <w:p w:rsidR="00AC153D" w:rsidRDefault="00E61554">
            <w:r w:rsidRPr="00E61554">
              <w:lastRenderedPageBreak/>
              <w:t>Grief and Trauma Intervention (GTI) for Children</w:t>
            </w:r>
          </w:p>
        </w:tc>
        <w:tc>
          <w:tcPr>
            <w:tcW w:w="1530" w:type="dxa"/>
          </w:tcPr>
          <w:p w:rsidR="00AC153D" w:rsidRDefault="00E61554" w:rsidP="003F417C">
            <w:pPr>
              <w:jc w:val="center"/>
            </w:pPr>
            <w:r>
              <w:t>7-12</w:t>
            </w:r>
          </w:p>
        </w:tc>
        <w:tc>
          <w:tcPr>
            <w:tcW w:w="3780" w:type="dxa"/>
          </w:tcPr>
          <w:p w:rsidR="00AC153D" w:rsidRDefault="00E61554">
            <w:r w:rsidRPr="00E61554">
              <w:rPr>
                <w:lang w:val="en"/>
              </w:rPr>
              <w:t>10 sessions of approximately 1 hour</w:t>
            </w:r>
          </w:p>
        </w:tc>
        <w:tc>
          <w:tcPr>
            <w:tcW w:w="5958" w:type="dxa"/>
          </w:tcPr>
          <w:p w:rsidR="00E61554" w:rsidRDefault="002506B6" w:rsidP="002815C3">
            <w:r w:rsidRPr="002506B6">
              <w:t xml:space="preserve">GTI for Children is designed for children with posttraumatic stress due to witnessing or being a direct victim of </w:t>
            </w:r>
            <w:r w:rsidR="00E61554">
              <w:t xml:space="preserve">a traumatic event. </w:t>
            </w:r>
            <w:r w:rsidR="00E61554" w:rsidRPr="00E61554">
              <w:rPr>
                <w:lang w:val="en"/>
              </w:rPr>
              <w:t>The intervention is condu</w:t>
            </w:r>
            <w:r w:rsidR="00E61554">
              <w:rPr>
                <w:lang w:val="en"/>
              </w:rPr>
              <w:t xml:space="preserve">cted with children in a group and </w:t>
            </w:r>
            <w:r w:rsidR="00E61554" w:rsidRPr="00E61554">
              <w:rPr>
                <w:lang w:val="en"/>
              </w:rPr>
              <w:t>individual</w:t>
            </w:r>
            <w:r w:rsidR="00E61554">
              <w:rPr>
                <w:lang w:val="en"/>
              </w:rPr>
              <w:t>ly as well as parent sessions</w:t>
            </w:r>
            <w:r w:rsidR="002815C3">
              <w:rPr>
                <w:lang w:val="en"/>
              </w:rPr>
              <w:t xml:space="preserve"> </w:t>
            </w:r>
            <w:r w:rsidR="002815C3">
              <w:rPr>
                <w:color w:val="000000"/>
                <w:lang w:val="en"/>
              </w:rPr>
              <w:t>to improve symptoms of posttraumatic stress, depression, and traumatic grief</w:t>
            </w:r>
            <w:r w:rsidR="00E61554">
              <w:rPr>
                <w:lang w:val="en"/>
              </w:rPr>
              <w:t xml:space="preserve">. </w:t>
            </w:r>
          </w:p>
        </w:tc>
      </w:tr>
      <w:tr w:rsidR="00AC153D" w:rsidTr="003F417C">
        <w:tc>
          <w:tcPr>
            <w:tcW w:w="1908" w:type="dxa"/>
          </w:tcPr>
          <w:p w:rsidR="00AC153D" w:rsidRDefault="002815C3">
            <w:r>
              <w:t>Seeking Safety</w:t>
            </w:r>
          </w:p>
        </w:tc>
        <w:tc>
          <w:tcPr>
            <w:tcW w:w="1530" w:type="dxa"/>
          </w:tcPr>
          <w:p w:rsidR="00AC153D" w:rsidRDefault="00271E2E" w:rsidP="003F417C">
            <w:pPr>
              <w:jc w:val="center"/>
            </w:pPr>
            <w:r>
              <w:t>13 &amp; up</w:t>
            </w:r>
          </w:p>
        </w:tc>
        <w:tc>
          <w:tcPr>
            <w:tcW w:w="3780" w:type="dxa"/>
          </w:tcPr>
          <w:p w:rsidR="00AC153D" w:rsidRDefault="00271E2E">
            <w:r>
              <w:t>Individual and group, length varies</w:t>
            </w:r>
          </w:p>
        </w:tc>
        <w:tc>
          <w:tcPr>
            <w:tcW w:w="5958" w:type="dxa"/>
          </w:tcPr>
          <w:p w:rsidR="00AC153D" w:rsidRDefault="002815C3" w:rsidP="00271E2E">
            <w:pPr>
              <w:rPr>
                <w:lang w:val="en"/>
              </w:rPr>
            </w:pPr>
            <w:r w:rsidRPr="002815C3">
              <w:t>Seeking Safety is a present-focused coping skills model for clients with a history of trauma and/or substance abuse. The treatment was designed for flexible use: group or individual format</w:t>
            </w:r>
            <w:r w:rsidR="00271E2E">
              <w:t xml:space="preserve"> and </w:t>
            </w:r>
            <w:r w:rsidR="00271E2E" w:rsidRPr="00271E2E">
              <w:rPr>
                <w:lang w:val="en"/>
              </w:rPr>
              <w:t>focuses on psycho</w:t>
            </w:r>
            <w:r w:rsidR="00271E2E">
              <w:rPr>
                <w:lang w:val="en"/>
              </w:rPr>
              <w:t>-</w:t>
            </w:r>
            <w:r w:rsidR="00271E2E" w:rsidRPr="00271E2E">
              <w:rPr>
                <w:lang w:val="en"/>
              </w:rPr>
              <w:t>education and coping skills</w:t>
            </w:r>
          </w:p>
          <w:p w:rsidR="006D7327" w:rsidRDefault="006D7327" w:rsidP="00271E2E"/>
        </w:tc>
      </w:tr>
      <w:tr w:rsidR="00AC153D" w:rsidTr="003F417C">
        <w:tc>
          <w:tcPr>
            <w:tcW w:w="1908" w:type="dxa"/>
          </w:tcPr>
          <w:p w:rsidR="00AC153D" w:rsidRDefault="00271E2E">
            <w:r w:rsidRPr="00271E2E">
              <w:t>Trauma Affect Regulation: Guide for Education and Therapy (TARGET)</w:t>
            </w:r>
          </w:p>
        </w:tc>
        <w:tc>
          <w:tcPr>
            <w:tcW w:w="1530" w:type="dxa"/>
          </w:tcPr>
          <w:p w:rsidR="00AC153D" w:rsidRDefault="006D7327" w:rsidP="003F417C">
            <w:pPr>
              <w:jc w:val="center"/>
            </w:pPr>
            <w:r>
              <w:t>13 &amp; up</w:t>
            </w:r>
          </w:p>
        </w:tc>
        <w:tc>
          <w:tcPr>
            <w:tcW w:w="3780" w:type="dxa"/>
          </w:tcPr>
          <w:p w:rsidR="00AC153D" w:rsidRDefault="006D7327">
            <w:r w:rsidRPr="006D7327">
              <w:rPr>
                <w:lang w:val="en"/>
              </w:rPr>
              <w:t>10-12 individual or group</w:t>
            </w:r>
            <w:r>
              <w:rPr>
                <w:lang w:val="en"/>
              </w:rPr>
              <w:t xml:space="preserve"> sessions</w:t>
            </w:r>
          </w:p>
        </w:tc>
        <w:tc>
          <w:tcPr>
            <w:tcW w:w="5958" w:type="dxa"/>
          </w:tcPr>
          <w:p w:rsidR="00AC153D" w:rsidRDefault="00271E2E" w:rsidP="00271E2E">
            <w:r>
              <w:t>TARGET</w:t>
            </w:r>
            <w:r w:rsidRPr="00271E2E">
              <w:t xml:space="preserve"> is a strengths-based approach to education and therapy for survivors of physical, sexual, psychological, and emotional trauma. TARGET teaches </w:t>
            </w:r>
            <w:r w:rsidR="006D7327">
              <w:t>skills</w:t>
            </w:r>
            <w:r w:rsidRPr="00271E2E">
              <w:t xml:space="preserve"> that can be used by trauma survivors to regulate extreme emotion states, manage intrusive trauma memories, promote self-efficacy, and achieve lasting recovery from trauma.</w:t>
            </w:r>
          </w:p>
        </w:tc>
      </w:tr>
      <w:tr w:rsidR="006D7327" w:rsidTr="003F417C">
        <w:tc>
          <w:tcPr>
            <w:tcW w:w="1908" w:type="dxa"/>
          </w:tcPr>
          <w:p w:rsidR="006D7327" w:rsidRPr="00271E2E" w:rsidRDefault="006D7327">
            <w:r w:rsidRPr="006D7327">
              <w:t>Trauma-Focused Cognitive Behavioral Therapy (TF-CBT)</w:t>
            </w:r>
          </w:p>
        </w:tc>
        <w:tc>
          <w:tcPr>
            <w:tcW w:w="1530" w:type="dxa"/>
          </w:tcPr>
          <w:p w:rsidR="006D7327" w:rsidRDefault="006D7327" w:rsidP="003F417C">
            <w:pPr>
              <w:jc w:val="center"/>
            </w:pPr>
            <w:r>
              <w:t>3-18</w:t>
            </w:r>
          </w:p>
        </w:tc>
        <w:tc>
          <w:tcPr>
            <w:tcW w:w="3780" w:type="dxa"/>
          </w:tcPr>
          <w:p w:rsidR="006D7327" w:rsidRPr="006D7327" w:rsidRDefault="006D7327">
            <w:pPr>
              <w:rPr>
                <w:lang w:val="en"/>
              </w:rPr>
            </w:pPr>
            <w:r w:rsidRPr="006D7327">
              <w:rPr>
                <w:lang w:val="en"/>
              </w:rPr>
              <w:t>12-16 sessions of individual and parent-child therapy</w:t>
            </w:r>
          </w:p>
        </w:tc>
        <w:tc>
          <w:tcPr>
            <w:tcW w:w="5958" w:type="dxa"/>
          </w:tcPr>
          <w:p w:rsidR="006D7327" w:rsidRDefault="006D7327" w:rsidP="00271E2E">
            <w:r>
              <w:t>TF-CBT</w:t>
            </w:r>
            <w:r w:rsidRPr="006D7327">
              <w:t xml:space="preserve"> is a psychosocial treatment model designed to treat posttraumatic stress and related emotional and behavioral problems in children and adolescents.</w:t>
            </w:r>
            <w:r>
              <w:t xml:space="preserve"> It focuses on using education and skill transfer to process past trauma and promote future development.</w:t>
            </w:r>
          </w:p>
          <w:p w:rsidR="006D7327" w:rsidRDefault="006D7327" w:rsidP="00271E2E"/>
        </w:tc>
      </w:tr>
    </w:tbl>
    <w:p w:rsidR="00AC153D" w:rsidRDefault="00AC153D"/>
    <w:sectPr w:rsidR="00AC153D" w:rsidSect="006D7327">
      <w:pgSz w:w="15840" w:h="12240" w:orient="landscape"/>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00"/>
    <w:family w:val="auto"/>
    <w:pitch w:val="variable"/>
    <w:sig w:usb0="00000803" w:usb1="00000000" w:usb2="00000000" w:usb3="00000000" w:csb0="00000021" w:csb1="00000000"/>
  </w:font>
  <w:font w:name="Gill Sans Ultra Bold Condensed">
    <w:panose1 w:val="020B0A06020104020203"/>
    <w:charset w:val="00"/>
    <w:family w:val="swiss"/>
    <w:pitch w:val="variable"/>
    <w:sig w:usb0="00000007" w:usb1="00000000" w:usb2="00000000" w:usb3="00000000" w:csb0="00000003" w:csb1="00000000"/>
  </w:font>
  <w:font w:name="Wide Latin">
    <w:panose1 w:val="020A0A070505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3D"/>
    <w:rsid w:val="001E55F8"/>
    <w:rsid w:val="002506B6"/>
    <w:rsid w:val="00271E2E"/>
    <w:rsid w:val="002815C3"/>
    <w:rsid w:val="003F417C"/>
    <w:rsid w:val="005650B8"/>
    <w:rsid w:val="006D7327"/>
    <w:rsid w:val="007A6F02"/>
    <w:rsid w:val="007E0198"/>
    <w:rsid w:val="00AC153D"/>
    <w:rsid w:val="00C25712"/>
    <w:rsid w:val="00E05D9D"/>
    <w:rsid w:val="00E61554"/>
    <w:rsid w:val="00F3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F4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5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41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5D9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F4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5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41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5D9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Stotsky</dc:creator>
  <cp:lastModifiedBy>Derek Stotsky</cp:lastModifiedBy>
  <cp:revision>4</cp:revision>
  <dcterms:created xsi:type="dcterms:W3CDTF">2015-10-16T13:29:00Z</dcterms:created>
  <dcterms:modified xsi:type="dcterms:W3CDTF">2015-10-23T17:06:00Z</dcterms:modified>
</cp:coreProperties>
</file>